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 xml:space="preserve">Scrutiny recommendation tracker – </w:t>
      </w:r>
      <w:r w:rsidR="00770820" w:rsidRPr="00770820">
        <w:rPr>
          <w:rFonts w:cs="Arial"/>
          <w:b/>
          <w:sz w:val="28"/>
        </w:rPr>
        <w:t xml:space="preserve">16 </w:t>
      </w:r>
      <w:r w:rsidRPr="00770820">
        <w:rPr>
          <w:rFonts w:cs="Arial"/>
          <w:b/>
          <w:sz w:val="28"/>
        </w:rPr>
        <w:t>June 2016</w:t>
      </w:r>
      <w:r w:rsidR="00770820" w:rsidRPr="00770820">
        <w:rPr>
          <w:rFonts w:cs="Arial"/>
          <w:b/>
          <w:sz w:val="28"/>
        </w:rPr>
        <w:t xml:space="preserve"> CEB</w:t>
      </w:r>
    </w:p>
    <w:p w:rsidR="00DE75D6" w:rsidRDefault="00DE75D6" w:rsidP="00ED7F43">
      <w:pPr>
        <w:rPr>
          <w:rFonts w:cs="Arial"/>
          <w:b/>
        </w:rPr>
      </w:pPr>
    </w:p>
    <w:p w:rsidR="00D07958" w:rsidRDefault="00AD57AD" w:rsidP="00ED7F43">
      <w:pPr>
        <w:rPr>
          <w:rFonts w:cs="Arial"/>
        </w:rPr>
      </w:pPr>
      <w:r>
        <w:rPr>
          <w:rFonts w:cs="Arial"/>
        </w:rPr>
        <w:t xml:space="preserve">The City Executive Board (CEB) on 16 June </w:t>
      </w:r>
      <w:r w:rsidR="00D07958">
        <w:rPr>
          <w:rFonts w:cs="Arial"/>
        </w:rPr>
        <w:t>agreed responses to Scrutiny Committee recommendations on the following items:</w:t>
      </w:r>
    </w:p>
    <w:p w:rsidR="00D07958" w:rsidRPr="00D07958" w:rsidRDefault="00D07958" w:rsidP="00D07958">
      <w:pPr>
        <w:pStyle w:val="ListParagraph"/>
        <w:numPr>
          <w:ilvl w:val="0"/>
          <w:numId w:val="9"/>
        </w:numPr>
        <w:rPr>
          <w:rFonts w:cs="Arial"/>
        </w:rPr>
      </w:pPr>
      <w:r w:rsidRPr="00D07958">
        <w:rPr>
          <w:rFonts w:cs="Arial"/>
        </w:rPr>
        <w:t xml:space="preserve">Apprentices (short report) </w:t>
      </w:r>
    </w:p>
    <w:p w:rsidR="00D07958" w:rsidRPr="00D07958" w:rsidRDefault="00D07958" w:rsidP="00D07958">
      <w:pPr>
        <w:pStyle w:val="ListParagraph"/>
        <w:numPr>
          <w:ilvl w:val="0"/>
          <w:numId w:val="9"/>
        </w:numPr>
        <w:rPr>
          <w:rFonts w:cs="Arial"/>
        </w:rPr>
      </w:pPr>
      <w:r w:rsidRPr="00D07958">
        <w:rPr>
          <w:rFonts w:cs="Arial"/>
        </w:rPr>
        <w:t>Oxford City Council Safeguarding Report 2015-16</w:t>
      </w:r>
      <w:r w:rsidR="00AD57AD">
        <w:rPr>
          <w:rFonts w:cs="Arial"/>
        </w:rPr>
        <w:t xml:space="preserve"> </w:t>
      </w:r>
    </w:p>
    <w:p w:rsidR="00D07958" w:rsidRDefault="00D07958" w:rsidP="00D07958">
      <w:pPr>
        <w:rPr>
          <w:rFonts w:cs="Arial"/>
          <w:b/>
        </w:rPr>
      </w:pPr>
    </w:p>
    <w:p w:rsidR="00D07958" w:rsidRDefault="00D07958" w:rsidP="00D07958">
      <w:pPr>
        <w:rPr>
          <w:rFonts w:cs="Arial"/>
          <w:b/>
        </w:rPr>
      </w:pPr>
      <w:r>
        <w:rPr>
          <w:rFonts w:cs="Arial"/>
          <w:b/>
        </w:rPr>
        <w:t>Apprentices (short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D07958" w:rsidRPr="00AC577F" w:rsidTr="00D07958">
        <w:tc>
          <w:tcPr>
            <w:tcW w:w="6629" w:type="dxa"/>
            <w:shd w:val="clear" w:color="auto" w:fill="D9D9D9"/>
            <w:vAlign w:val="center"/>
          </w:tcPr>
          <w:p w:rsidR="00D07958" w:rsidRPr="00AC577F" w:rsidRDefault="00D07958" w:rsidP="00D5196F">
            <w:pPr>
              <w:rPr>
                <w:rFonts w:cs="Arial"/>
                <w:b/>
                <w:i/>
              </w:rPr>
            </w:pPr>
            <w:r w:rsidRPr="00AC577F">
              <w:rPr>
                <w:rFonts w:cs="Arial"/>
                <w:b/>
                <w:i/>
              </w:rPr>
              <w:t>Recommendation</w:t>
            </w:r>
          </w:p>
        </w:tc>
        <w:tc>
          <w:tcPr>
            <w:tcW w:w="1276" w:type="dxa"/>
            <w:shd w:val="clear" w:color="auto" w:fill="D9D9D9"/>
            <w:vAlign w:val="center"/>
          </w:tcPr>
          <w:p w:rsidR="00D07958" w:rsidRPr="00AC577F" w:rsidRDefault="00D07958" w:rsidP="00D5196F">
            <w:pPr>
              <w:rPr>
                <w:rFonts w:cs="Arial"/>
                <w:b/>
                <w:i/>
              </w:rPr>
            </w:pPr>
            <w:r>
              <w:rPr>
                <w:rFonts w:cs="Arial"/>
                <w:b/>
                <w:i/>
              </w:rPr>
              <w:t>Agreed</w:t>
            </w:r>
            <w:r w:rsidR="0033084B">
              <w:rPr>
                <w:rFonts w:cs="Arial"/>
                <w:b/>
                <w:i/>
              </w:rPr>
              <w:t>?</w:t>
            </w:r>
            <w:r w:rsidRPr="00AC577F">
              <w:rPr>
                <w:rFonts w:cs="Arial"/>
                <w:b/>
                <w:i/>
              </w:rPr>
              <w:t xml:space="preserve"> </w:t>
            </w:r>
          </w:p>
        </w:tc>
        <w:tc>
          <w:tcPr>
            <w:tcW w:w="6378" w:type="dxa"/>
            <w:shd w:val="clear" w:color="auto" w:fill="D9D9D9"/>
            <w:vAlign w:val="center"/>
          </w:tcPr>
          <w:p w:rsidR="00D07958" w:rsidRPr="00AC577F" w:rsidRDefault="00D07958" w:rsidP="00D5196F">
            <w:pPr>
              <w:rPr>
                <w:rFonts w:cs="Arial"/>
                <w:b/>
                <w:i/>
              </w:rPr>
            </w:pPr>
            <w:r w:rsidRPr="00AC577F">
              <w:rPr>
                <w:rFonts w:cs="Arial"/>
                <w:b/>
                <w:i/>
              </w:rPr>
              <w:t>Comment</w:t>
            </w:r>
          </w:p>
        </w:tc>
      </w:tr>
      <w:tr w:rsidR="00D07958" w:rsidRPr="00AC577F" w:rsidTr="00D07958">
        <w:tc>
          <w:tcPr>
            <w:tcW w:w="6629" w:type="dxa"/>
            <w:shd w:val="clear" w:color="auto" w:fill="auto"/>
          </w:tcPr>
          <w:p w:rsidR="00D07958" w:rsidRPr="00896B8B" w:rsidRDefault="00D07958" w:rsidP="00D5196F">
            <w:pPr>
              <w:rPr>
                <w:rFonts w:cs="Arial"/>
                <w:bCs/>
                <w:iCs/>
              </w:rPr>
            </w:pPr>
            <w:r>
              <w:rPr>
                <w:rFonts w:cs="Arial"/>
                <w:bCs/>
                <w:iCs/>
              </w:rPr>
              <w:t xml:space="preserve">1. </w:t>
            </w:r>
            <w:r w:rsidRPr="00896B8B">
              <w:rPr>
                <w:rFonts w:cs="Arial"/>
                <w:bCs/>
                <w:iCs/>
              </w:rPr>
              <w:t>That consideration is given to extending the eligibility criteria for apprenticeships beyond the OX1 to OX4 postcode areas but with a preference for appointing applicants with these postcodes.</w:t>
            </w:r>
          </w:p>
          <w:p w:rsidR="00D07958" w:rsidRPr="00AC577F" w:rsidRDefault="00D07958" w:rsidP="00D5196F">
            <w:pPr>
              <w:rPr>
                <w:rFonts w:cs="Arial"/>
              </w:rPr>
            </w:pPr>
          </w:p>
        </w:tc>
        <w:tc>
          <w:tcPr>
            <w:tcW w:w="1276" w:type="dxa"/>
            <w:shd w:val="clear" w:color="auto" w:fill="auto"/>
          </w:tcPr>
          <w:p w:rsidR="00D07958" w:rsidRPr="00AC577F" w:rsidRDefault="00D07958" w:rsidP="00D5196F">
            <w:pPr>
              <w:rPr>
                <w:rFonts w:cs="Arial"/>
              </w:rPr>
            </w:pPr>
            <w:r>
              <w:rPr>
                <w:rFonts w:cs="Arial"/>
              </w:rPr>
              <w:t>Agreed</w:t>
            </w:r>
          </w:p>
        </w:tc>
        <w:tc>
          <w:tcPr>
            <w:tcW w:w="6378" w:type="dxa"/>
            <w:shd w:val="clear" w:color="auto" w:fill="auto"/>
          </w:tcPr>
          <w:p w:rsidR="00D07958" w:rsidRPr="00AC577F" w:rsidRDefault="00D07958" w:rsidP="00D5196F">
            <w:pPr>
              <w:rPr>
                <w:rFonts w:cs="Arial"/>
              </w:rPr>
            </w:pPr>
            <w:r w:rsidRPr="00896B8B">
              <w:rPr>
                <w:rFonts w:cs="Arial"/>
              </w:rPr>
              <w:t xml:space="preserve">The apprenticeship recruitment campaign will be extended to cover applicants who live in Abingdon, </w:t>
            </w:r>
            <w:proofErr w:type="spellStart"/>
            <w:r w:rsidRPr="00896B8B">
              <w:rPr>
                <w:rFonts w:cs="Arial"/>
              </w:rPr>
              <w:t>Witney</w:t>
            </w:r>
            <w:proofErr w:type="gramStart"/>
            <w:r w:rsidRPr="00896B8B">
              <w:rPr>
                <w:rFonts w:cs="Arial"/>
              </w:rPr>
              <w:t>,Bicester,Didcot</w:t>
            </w:r>
            <w:proofErr w:type="spellEnd"/>
            <w:proofErr w:type="gramEnd"/>
            <w:r w:rsidRPr="00896B8B">
              <w:rPr>
                <w:rFonts w:cs="Arial"/>
              </w:rPr>
              <w:t xml:space="preserve"> and Kidlington areas so that the apprentices will be a better reflection of the Oxfordshire labour market. Preference will be given to applicants who live in OX1- OX4.</w:t>
            </w:r>
          </w:p>
        </w:tc>
      </w:tr>
    </w:tbl>
    <w:p w:rsidR="00D07958" w:rsidRDefault="00D07958" w:rsidP="000651BE">
      <w:pPr>
        <w:rPr>
          <w:rFonts w:cs="Arial"/>
          <w:b/>
        </w:rPr>
      </w:pPr>
    </w:p>
    <w:p w:rsidR="000651BE" w:rsidRDefault="00D07958" w:rsidP="000651BE">
      <w:pPr>
        <w:rPr>
          <w:rFonts w:cs="Arial"/>
          <w:b/>
        </w:rPr>
      </w:pPr>
      <w:r w:rsidRPr="00D07958">
        <w:rPr>
          <w:rFonts w:cs="Arial"/>
          <w:b/>
        </w:rPr>
        <w:t>Oxford City Council Safeguarding Report 2015-16</w:t>
      </w:r>
      <w:r w:rsidR="00AD57AD">
        <w:rPr>
          <w:rFonts w:cs="Arial"/>
          <w:b/>
        </w:rPr>
        <w:t xml:space="preserve"> </w:t>
      </w:r>
      <w:r w:rsidR="00AD57AD" w:rsidRPr="00AD57AD">
        <w:rPr>
          <w:rFonts w:cs="Arial"/>
          <w:b/>
          <w:i/>
        </w:rPr>
        <w:t xml:space="preserve">(see also the draft minutes </w:t>
      </w:r>
      <w:r w:rsidR="00AD57AD">
        <w:rPr>
          <w:rFonts w:cs="Arial"/>
          <w:b/>
          <w:i/>
        </w:rPr>
        <w:t xml:space="preserve">extract </w:t>
      </w:r>
      <w:r w:rsidR="00AD57AD" w:rsidRPr="00AD57AD">
        <w:rPr>
          <w:rFonts w:cs="Arial"/>
          <w:b/>
          <w:i/>
        </w:rPr>
        <w:t>below)</w:t>
      </w:r>
      <w:r>
        <w:rPr>
          <w:rFonts w:cs="Arial"/>
          <w:b/>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0651BE" w:rsidRPr="00AC577F" w:rsidTr="00D07958">
        <w:tc>
          <w:tcPr>
            <w:tcW w:w="6629" w:type="dxa"/>
            <w:shd w:val="clear" w:color="auto" w:fill="D9D9D9"/>
            <w:vAlign w:val="center"/>
          </w:tcPr>
          <w:p w:rsidR="000651BE" w:rsidRPr="00AC577F" w:rsidRDefault="000651BE" w:rsidP="00D5196F">
            <w:pPr>
              <w:rPr>
                <w:rFonts w:cs="Arial"/>
                <w:b/>
                <w:i/>
              </w:rPr>
            </w:pPr>
            <w:r w:rsidRPr="00AC577F">
              <w:rPr>
                <w:rFonts w:cs="Arial"/>
                <w:b/>
                <w:i/>
              </w:rPr>
              <w:t>Recommendation</w:t>
            </w:r>
          </w:p>
        </w:tc>
        <w:tc>
          <w:tcPr>
            <w:tcW w:w="1276" w:type="dxa"/>
            <w:shd w:val="clear" w:color="auto" w:fill="D9D9D9"/>
            <w:vAlign w:val="center"/>
          </w:tcPr>
          <w:p w:rsidR="000651BE" w:rsidRPr="00AC577F" w:rsidRDefault="000651BE" w:rsidP="000651BE">
            <w:pPr>
              <w:rPr>
                <w:rFonts w:cs="Arial"/>
                <w:b/>
                <w:i/>
              </w:rPr>
            </w:pPr>
            <w:r w:rsidRPr="00AC577F">
              <w:rPr>
                <w:rFonts w:cs="Arial"/>
                <w:b/>
                <w:i/>
              </w:rPr>
              <w:t xml:space="preserve">Agreed? </w:t>
            </w:r>
          </w:p>
        </w:tc>
        <w:tc>
          <w:tcPr>
            <w:tcW w:w="6378" w:type="dxa"/>
            <w:shd w:val="clear" w:color="auto" w:fill="D9D9D9"/>
            <w:vAlign w:val="center"/>
          </w:tcPr>
          <w:p w:rsidR="000651BE" w:rsidRPr="00AC577F" w:rsidRDefault="000651BE" w:rsidP="00D5196F">
            <w:pPr>
              <w:rPr>
                <w:rFonts w:cs="Arial"/>
                <w:b/>
                <w:i/>
              </w:rPr>
            </w:pPr>
            <w:r w:rsidRPr="00AC577F">
              <w:rPr>
                <w:rFonts w:cs="Arial"/>
                <w:b/>
                <w:i/>
              </w:rPr>
              <w:t>Comment</w:t>
            </w:r>
          </w:p>
        </w:tc>
      </w:tr>
      <w:tr w:rsidR="000651BE" w:rsidRPr="00AC577F" w:rsidTr="00D07958">
        <w:tc>
          <w:tcPr>
            <w:tcW w:w="6629" w:type="dxa"/>
            <w:shd w:val="clear" w:color="auto" w:fill="auto"/>
          </w:tcPr>
          <w:p w:rsidR="000651BE" w:rsidRPr="00410BA6" w:rsidRDefault="000651BE" w:rsidP="00D5196F">
            <w:pPr>
              <w:rPr>
                <w:rFonts w:cs="Arial"/>
              </w:rPr>
            </w:pPr>
            <w:r w:rsidRPr="00410BA6">
              <w:rPr>
                <w:rFonts w:cs="Arial"/>
              </w:rPr>
              <w:t>1. That anonymised case study examples of safeguarding referrals made by the Council are provided to elected members.</w:t>
            </w:r>
          </w:p>
        </w:tc>
        <w:tc>
          <w:tcPr>
            <w:tcW w:w="1276" w:type="dxa"/>
            <w:shd w:val="clear" w:color="auto" w:fill="auto"/>
          </w:tcPr>
          <w:p w:rsidR="000651BE" w:rsidRPr="00AC577F" w:rsidRDefault="000651BE" w:rsidP="00D5196F">
            <w:pPr>
              <w:rPr>
                <w:rFonts w:cs="Arial"/>
              </w:rPr>
            </w:pPr>
            <w:r>
              <w:rPr>
                <w:rFonts w:cs="Arial"/>
              </w:rPr>
              <w:t>Y</w:t>
            </w:r>
          </w:p>
        </w:tc>
        <w:tc>
          <w:tcPr>
            <w:tcW w:w="6378" w:type="dxa"/>
            <w:shd w:val="clear" w:color="auto" w:fill="auto"/>
          </w:tcPr>
          <w:p w:rsidR="000651BE" w:rsidRPr="00AC577F" w:rsidRDefault="000651BE" w:rsidP="00D5196F">
            <w:pPr>
              <w:rPr>
                <w:rFonts w:cs="Arial"/>
              </w:rPr>
            </w:pPr>
            <w:r>
              <w:rPr>
                <w:rFonts w:cs="Arial"/>
              </w:rPr>
              <w:t>This is part of the safeguarding training that is provided for Members.</w:t>
            </w:r>
          </w:p>
        </w:tc>
      </w:tr>
      <w:tr w:rsidR="000651BE" w:rsidRPr="00AC577F" w:rsidTr="00D07958">
        <w:tc>
          <w:tcPr>
            <w:tcW w:w="6629" w:type="dxa"/>
            <w:shd w:val="clear" w:color="auto" w:fill="auto"/>
          </w:tcPr>
          <w:p w:rsidR="000651BE" w:rsidRPr="00410BA6" w:rsidRDefault="000651BE" w:rsidP="00D5196F">
            <w:pPr>
              <w:rPr>
                <w:rFonts w:cs="Arial"/>
              </w:rPr>
            </w:pPr>
            <w:r w:rsidRPr="00410BA6">
              <w:rPr>
                <w:rFonts w:cs="Arial"/>
              </w:rPr>
              <w:t>2. That the Council continues to work positively and proactively through partnerships to raise awareness of potential safeguarding issues in the City and push for action to investigate and address these issues, including, for example, high levels of pupil absence at particular schools.</w:t>
            </w:r>
          </w:p>
        </w:tc>
        <w:tc>
          <w:tcPr>
            <w:tcW w:w="1276" w:type="dxa"/>
            <w:shd w:val="clear" w:color="auto" w:fill="auto"/>
          </w:tcPr>
          <w:p w:rsidR="000651BE" w:rsidRPr="00AC577F" w:rsidRDefault="000651BE" w:rsidP="00D5196F">
            <w:pPr>
              <w:rPr>
                <w:rFonts w:cs="Arial"/>
              </w:rPr>
            </w:pPr>
            <w:r>
              <w:rPr>
                <w:rFonts w:cs="Arial"/>
              </w:rPr>
              <w:t>Y</w:t>
            </w:r>
          </w:p>
        </w:tc>
        <w:tc>
          <w:tcPr>
            <w:tcW w:w="6378" w:type="dxa"/>
            <w:shd w:val="clear" w:color="auto" w:fill="auto"/>
          </w:tcPr>
          <w:p w:rsidR="000651BE" w:rsidRPr="00AC577F" w:rsidRDefault="000651BE" w:rsidP="00D5196F">
            <w:pPr>
              <w:rPr>
                <w:rFonts w:cs="Arial"/>
              </w:rPr>
            </w:pPr>
            <w:r>
              <w:rPr>
                <w:rFonts w:cs="Arial"/>
              </w:rPr>
              <w:t>The City Council is represented on the Oxfordshire Safeguarding Children’s Board and the Oxfordshire Children’s Trust where these issues are discussed.  It also leads on the Community Safety Partnership which is another forum for these issues.</w:t>
            </w:r>
          </w:p>
        </w:tc>
      </w:tr>
      <w:tr w:rsidR="000651BE" w:rsidRPr="00AC577F" w:rsidTr="00D07958">
        <w:tc>
          <w:tcPr>
            <w:tcW w:w="6629" w:type="dxa"/>
            <w:shd w:val="clear" w:color="auto" w:fill="auto"/>
          </w:tcPr>
          <w:p w:rsidR="000651BE" w:rsidRPr="00410BA6" w:rsidRDefault="000651BE" w:rsidP="00D5196F">
            <w:pPr>
              <w:rPr>
                <w:rFonts w:cs="Arial"/>
              </w:rPr>
            </w:pPr>
            <w:r w:rsidRPr="00410BA6">
              <w:rPr>
                <w:rFonts w:cs="Arial"/>
              </w:rPr>
              <w:t>3. That the Council continues to request feedback from partner agencies following safeguarding referrals.</w:t>
            </w:r>
          </w:p>
        </w:tc>
        <w:tc>
          <w:tcPr>
            <w:tcW w:w="1276" w:type="dxa"/>
            <w:shd w:val="clear" w:color="auto" w:fill="auto"/>
          </w:tcPr>
          <w:p w:rsidR="000651BE" w:rsidRPr="00AC577F" w:rsidRDefault="000651BE" w:rsidP="00D5196F">
            <w:pPr>
              <w:rPr>
                <w:rFonts w:cs="Arial"/>
              </w:rPr>
            </w:pPr>
            <w:r>
              <w:rPr>
                <w:rFonts w:cs="Arial"/>
              </w:rPr>
              <w:t>Y</w:t>
            </w:r>
          </w:p>
        </w:tc>
        <w:tc>
          <w:tcPr>
            <w:tcW w:w="6378" w:type="dxa"/>
            <w:shd w:val="clear" w:color="auto" w:fill="auto"/>
          </w:tcPr>
          <w:p w:rsidR="000651BE" w:rsidRPr="00AC577F" w:rsidRDefault="000651BE" w:rsidP="00D5196F">
            <w:pPr>
              <w:rPr>
                <w:rFonts w:cs="Arial"/>
              </w:rPr>
            </w:pPr>
            <w:r>
              <w:rPr>
                <w:rFonts w:cs="Arial"/>
              </w:rPr>
              <w:t xml:space="preserve">The Council relies on data from the Multi Agency Safeguarding Hub and will continue to seek feedback from partner agencies on how referrals are progressing. However, the Council’s role is not to investigate </w:t>
            </w:r>
          </w:p>
        </w:tc>
      </w:tr>
      <w:tr w:rsidR="000651BE" w:rsidRPr="00AC577F" w:rsidTr="00D07958">
        <w:tc>
          <w:tcPr>
            <w:tcW w:w="6629" w:type="dxa"/>
            <w:tcBorders>
              <w:top w:val="single" w:sz="4" w:space="0" w:color="auto"/>
              <w:left w:val="single" w:sz="4" w:space="0" w:color="auto"/>
              <w:bottom w:val="single" w:sz="4" w:space="0" w:color="auto"/>
              <w:right w:val="single" w:sz="4" w:space="0" w:color="auto"/>
            </w:tcBorders>
            <w:shd w:val="clear" w:color="auto" w:fill="auto"/>
          </w:tcPr>
          <w:p w:rsidR="000651BE" w:rsidRPr="00410BA6" w:rsidRDefault="000651BE" w:rsidP="00D5196F">
            <w:pPr>
              <w:rPr>
                <w:rFonts w:cs="Arial"/>
              </w:rPr>
            </w:pPr>
            <w:r w:rsidRPr="00410BA6">
              <w:rPr>
                <w:rFonts w:cs="Arial"/>
              </w:rPr>
              <w:t>4. That the Council makes representations to government through appropriate channels about the need for more rigorous safeguarding arrangements for language school students age</w:t>
            </w:r>
            <w:r>
              <w:rPr>
                <w:rFonts w:cs="Arial"/>
              </w:rPr>
              <w:t xml:space="preserve">d </w:t>
            </w:r>
            <w:proofErr w:type="gramStart"/>
            <w:r>
              <w:rPr>
                <w:rFonts w:cs="Arial"/>
              </w:rPr>
              <w:t>under</w:t>
            </w:r>
            <w:proofErr w:type="gramEnd"/>
            <w:r w:rsidRPr="00410BA6">
              <w:rPr>
                <w:rFonts w:cs="Arial"/>
              </w:rPr>
              <w:t xml:space="preserve"> 18 living in private sector accommodation.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51BE" w:rsidRPr="00AC577F" w:rsidRDefault="000651BE" w:rsidP="00D5196F">
            <w:pPr>
              <w:rPr>
                <w:rFonts w:cs="Arial"/>
              </w:rPr>
            </w:pPr>
            <w:r>
              <w:rPr>
                <w:rFonts w:cs="Arial"/>
              </w:rPr>
              <w:t xml:space="preserve">In part </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651BE" w:rsidRPr="00AC577F" w:rsidRDefault="000651BE" w:rsidP="00D5196F">
            <w:pPr>
              <w:rPr>
                <w:rFonts w:cs="Arial"/>
              </w:rPr>
            </w:pPr>
            <w:r>
              <w:rPr>
                <w:rFonts w:cs="Arial"/>
              </w:rPr>
              <w:t xml:space="preserve">This can only happen once multi agency work has been done on language schools in Oxford. (see recommendation 5, below) If this work raises concerns that should be raised at a national level, representations to government should be made. </w:t>
            </w:r>
          </w:p>
        </w:tc>
      </w:tr>
      <w:tr w:rsidR="000651BE" w:rsidRPr="00AC577F" w:rsidTr="00D07958">
        <w:tc>
          <w:tcPr>
            <w:tcW w:w="6629" w:type="dxa"/>
            <w:tcBorders>
              <w:top w:val="single" w:sz="4" w:space="0" w:color="auto"/>
              <w:left w:val="single" w:sz="4" w:space="0" w:color="auto"/>
              <w:bottom w:val="single" w:sz="4" w:space="0" w:color="auto"/>
              <w:right w:val="single" w:sz="4" w:space="0" w:color="auto"/>
            </w:tcBorders>
            <w:shd w:val="clear" w:color="auto" w:fill="auto"/>
          </w:tcPr>
          <w:p w:rsidR="000651BE" w:rsidRPr="00410BA6" w:rsidRDefault="000651BE" w:rsidP="00D5196F">
            <w:pPr>
              <w:tabs>
                <w:tab w:val="left" w:pos="1122"/>
              </w:tabs>
              <w:rPr>
                <w:rFonts w:cs="Arial"/>
              </w:rPr>
            </w:pPr>
            <w:r w:rsidRPr="00410BA6">
              <w:rPr>
                <w:rFonts w:cs="Arial"/>
              </w:rPr>
              <w:lastRenderedPageBreak/>
              <w:t>5. That potential safeguarding issues around language school students age</w:t>
            </w:r>
            <w:r>
              <w:rPr>
                <w:rFonts w:cs="Arial"/>
              </w:rPr>
              <w:t>d under</w:t>
            </w:r>
            <w:r w:rsidRPr="00410BA6">
              <w:rPr>
                <w:rFonts w:cs="Arial"/>
              </w:rPr>
              <w:t xml:space="preserve"> 18 living in private sector accommodation should be considered and discussed with language schools, the police and other relevant partner agencies.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51BE" w:rsidRPr="00AC577F" w:rsidRDefault="000651BE" w:rsidP="00D5196F">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651BE" w:rsidRPr="009E710D" w:rsidRDefault="000651BE" w:rsidP="00D5196F">
            <w:pPr>
              <w:rPr>
                <w:rFonts w:cs="Arial"/>
              </w:rPr>
            </w:pPr>
            <w:r>
              <w:rPr>
                <w:rFonts w:cs="Arial"/>
              </w:rPr>
              <w:t>This work is already underway.</w:t>
            </w:r>
          </w:p>
        </w:tc>
      </w:tr>
      <w:tr w:rsidR="000651BE" w:rsidRPr="00AC577F" w:rsidTr="00D07958">
        <w:tc>
          <w:tcPr>
            <w:tcW w:w="6629" w:type="dxa"/>
            <w:tcBorders>
              <w:top w:val="single" w:sz="4" w:space="0" w:color="auto"/>
              <w:left w:val="single" w:sz="4" w:space="0" w:color="auto"/>
              <w:bottom w:val="single" w:sz="4" w:space="0" w:color="auto"/>
              <w:right w:val="single" w:sz="4" w:space="0" w:color="auto"/>
            </w:tcBorders>
            <w:shd w:val="clear" w:color="auto" w:fill="auto"/>
          </w:tcPr>
          <w:p w:rsidR="000651BE" w:rsidRPr="00410BA6" w:rsidRDefault="000651BE" w:rsidP="00D5196F">
            <w:pPr>
              <w:rPr>
                <w:rFonts w:cs="Arial"/>
              </w:rPr>
            </w:pPr>
            <w:r w:rsidRPr="00410BA6">
              <w:rPr>
                <w:rFonts w:cs="Arial"/>
              </w:rPr>
              <w:t>6. That Safeguarding training provided to the Council’s HMO and Private Sector Enforcement Teams should cover how to recognise and report potential safeguarding issues around language school students</w:t>
            </w:r>
            <w:r>
              <w:rPr>
                <w:rFonts w:cs="Arial"/>
              </w:rPr>
              <w:t xml:space="preserve"> aged</w:t>
            </w:r>
            <w:r w:rsidRPr="00410BA6">
              <w:rPr>
                <w:rFonts w:cs="Arial"/>
              </w:rPr>
              <w:t xml:space="preserve"> </w:t>
            </w:r>
            <w:proofErr w:type="gramStart"/>
            <w:r w:rsidRPr="00410BA6">
              <w:rPr>
                <w:rFonts w:cs="Arial"/>
              </w:rPr>
              <w:t>under</w:t>
            </w:r>
            <w:proofErr w:type="gramEnd"/>
            <w:r w:rsidRPr="00410BA6">
              <w:rPr>
                <w:rFonts w:cs="Arial"/>
              </w:rPr>
              <w:t xml:space="preserve"> 18 living in the private sector.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51BE" w:rsidRPr="00AC577F" w:rsidRDefault="000651BE" w:rsidP="00D5196F">
            <w:pPr>
              <w:rPr>
                <w:rFonts w:cs="Arial"/>
              </w:rPr>
            </w:pPr>
            <w:r>
              <w:rPr>
                <w:rFonts w:cs="Arial"/>
              </w:rPr>
              <w:t>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651BE" w:rsidRPr="00AC577F" w:rsidRDefault="000651BE" w:rsidP="00D5196F">
            <w:pPr>
              <w:rPr>
                <w:rFonts w:cs="Arial"/>
              </w:rPr>
            </w:pPr>
            <w:r>
              <w:rPr>
                <w:rFonts w:cs="Arial"/>
              </w:rPr>
              <w:t xml:space="preserve">The Council’s HMO and Private Sector Enforcement Teams are trained in safeguarding both children and adults. The issues relating specifically to language school students including a case study can be added to the training that is in place. </w:t>
            </w:r>
          </w:p>
        </w:tc>
      </w:tr>
    </w:tbl>
    <w:p w:rsidR="00770820" w:rsidRDefault="00770820" w:rsidP="000651BE">
      <w:pPr>
        <w:rPr>
          <w:rFonts w:cs="Arial"/>
          <w:b/>
        </w:rPr>
      </w:pPr>
    </w:p>
    <w:p w:rsidR="00D07958" w:rsidRDefault="00D07958" w:rsidP="000651BE">
      <w:pPr>
        <w:rPr>
          <w:rFonts w:cs="Arial"/>
          <w:b/>
        </w:rPr>
      </w:pPr>
    </w:p>
    <w:p w:rsidR="00770820" w:rsidRPr="00770820" w:rsidRDefault="00D07958" w:rsidP="00770820">
      <w:pPr>
        <w:rPr>
          <w:rFonts w:cs="Arial"/>
          <w:b/>
        </w:rPr>
      </w:pPr>
      <w:r>
        <w:rPr>
          <w:rFonts w:cs="Arial"/>
          <w:b/>
        </w:rPr>
        <w:t>Extract from d</w:t>
      </w:r>
      <w:r w:rsidR="00770820">
        <w:rPr>
          <w:rFonts w:cs="Arial"/>
          <w:b/>
        </w:rPr>
        <w:t xml:space="preserve">raft </w:t>
      </w:r>
      <w:r w:rsidR="00AD57AD">
        <w:rPr>
          <w:rFonts w:cs="Arial"/>
          <w:b/>
        </w:rPr>
        <w:t>CEB</w:t>
      </w:r>
      <w:r w:rsidR="00770820">
        <w:rPr>
          <w:rFonts w:cs="Arial"/>
          <w:b/>
        </w:rPr>
        <w:t xml:space="preserve"> m</w:t>
      </w:r>
      <w:r w:rsidR="00770820" w:rsidRPr="00770820">
        <w:rPr>
          <w:rFonts w:cs="Arial"/>
          <w:b/>
        </w:rPr>
        <w:t>inutes</w:t>
      </w:r>
      <w:r w:rsidR="00770820">
        <w:rPr>
          <w:rFonts w:cs="Arial"/>
          <w:b/>
        </w:rPr>
        <w:t xml:space="preserve"> on Oxford City Council Safeguarding report 2015-16</w:t>
      </w:r>
      <w:r w:rsidR="00770820" w:rsidRPr="00770820">
        <w:rPr>
          <w:rFonts w:cs="Arial"/>
          <w:b/>
        </w:rPr>
        <w:t>:</w:t>
      </w:r>
    </w:p>
    <w:p w:rsidR="00770820" w:rsidRPr="00770820" w:rsidRDefault="00D07958" w:rsidP="00770820">
      <w:pPr>
        <w:rPr>
          <w:rFonts w:cs="Arial"/>
        </w:rPr>
      </w:pPr>
      <w:r>
        <w:rPr>
          <w:rFonts w:cs="Arial"/>
        </w:rPr>
        <w:t>…</w:t>
      </w:r>
      <w:r w:rsidR="00770820" w:rsidRPr="00770820">
        <w:rPr>
          <w:rFonts w:cs="Arial"/>
        </w:rPr>
        <w:t>The Chair of Scrutiny Committee introduced the Committee’s report and recommendations on safeguarding, highlighting in particular the concerns identified regarding the lack of regulation for Language Schools operating in the city, and nationally.  He said that the Committee considered this to be a significant issue and it had been added to the work programme for a full review.</w:t>
      </w:r>
    </w:p>
    <w:p w:rsidR="00770820" w:rsidRPr="00770820" w:rsidRDefault="00770820" w:rsidP="00770820">
      <w:pPr>
        <w:rPr>
          <w:rFonts w:cs="Arial"/>
        </w:rPr>
      </w:pPr>
    </w:p>
    <w:p w:rsidR="00770820" w:rsidRPr="00770820" w:rsidRDefault="00D07958" w:rsidP="00770820">
      <w:pPr>
        <w:rPr>
          <w:rFonts w:cs="Arial"/>
        </w:rPr>
      </w:pPr>
      <w:r>
        <w:rPr>
          <w:rFonts w:cs="Arial"/>
        </w:rPr>
        <w:t>The Board Member…</w:t>
      </w:r>
      <w:r w:rsidR="00770820" w:rsidRPr="00770820">
        <w:rPr>
          <w:rFonts w:cs="Arial"/>
        </w:rPr>
        <w:t xml:space="preserve"> welcomed the Scrutiny Committee report and thanked the Safeguarding Officer for her contribution.  She said that she had written to Government regarding her concerns over the lack of safeguarding control for Language Schools but that she had received a less than satisfactory response.</w:t>
      </w:r>
    </w:p>
    <w:p w:rsidR="00770820" w:rsidRPr="00770820" w:rsidRDefault="00770820" w:rsidP="00770820">
      <w:pPr>
        <w:rPr>
          <w:rFonts w:cs="Arial"/>
        </w:rPr>
      </w:pPr>
    </w:p>
    <w:p w:rsidR="00770820" w:rsidRPr="00770820" w:rsidRDefault="00770820" w:rsidP="00770820">
      <w:pPr>
        <w:rPr>
          <w:rFonts w:cs="Arial"/>
        </w:rPr>
      </w:pPr>
      <w:r w:rsidRPr="00770820">
        <w:rPr>
          <w:rFonts w:cs="Arial"/>
        </w:rPr>
        <w:t xml:space="preserve">The Board agreed that it was incumbent upon the Council to raise this issue as a priority with the Safeguarding Board and partner agencies as a matter of local and national concern.   </w:t>
      </w:r>
    </w:p>
    <w:p w:rsidR="00770820" w:rsidRPr="00770820" w:rsidRDefault="00770820" w:rsidP="00770820">
      <w:pPr>
        <w:rPr>
          <w:rFonts w:cs="Arial"/>
        </w:rPr>
      </w:pPr>
    </w:p>
    <w:p w:rsidR="00770820" w:rsidRDefault="00770820" w:rsidP="00770820">
      <w:pPr>
        <w:rPr>
          <w:rFonts w:cs="Arial"/>
        </w:rPr>
      </w:pPr>
      <w:r w:rsidRPr="00770820">
        <w:rPr>
          <w:rFonts w:cs="Arial"/>
        </w:rPr>
        <w:t>The Board instructed the Chief Executive to task officers to work with the Scrutiny Committee to undertake a full review of this issue and to report back to the Board later in the year.</w:t>
      </w:r>
    </w:p>
    <w:p w:rsidR="00D07958" w:rsidRPr="00770820" w:rsidRDefault="00D07958" w:rsidP="00770820">
      <w:pPr>
        <w:rPr>
          <w:rFonts w:cs="Arial"/>
        </w:rPr>
      </w:pPr>
    </w:p>
    <w:p w:rsidR="00770820" w:rsidRPr="00770820" w:rsidRDefault="00D07958" w:rsidP="00770820">
      <w:pPr>
        <w:rPr>
          <w:rFonts w:cs="Arial"/>
        </w:rPr>
      </w:pPr>
      <w:r>
        <w:rPr>
          <w:rFonts w:cs="Arial"/>
        </w:rPr>
        <w:t>…T</w:t>
      </w:r>
      <w:r w:rsidR="00770820" w:rsidRPr="00770820">
        <w:rPr>
          <w:rFonts w:cs="Arial"/>
        </w:rPr>
        <w:t>he City Executive Board resolved to:</w:t>
      </w:r>
    </w:p>
    <w:p w:rsidR="00770820" w:rsidRPr="00D07958" w:rsidRDefault="00770820" w:rsidP="00D07958">
      <w:pPr>
        <w:pStyle w:val="ListParagraph"/>
        <w:numPr>
          <w:ilvl w:val="0"/>
          <w:numId w:val="7"/>
        </w:numPr>
        <w:rPr>
          <w:rFonts w:cs="Arial"/>
        </w:rPr>
      </w:pPr>
      <w:r w:rsidRPr="00D07958">
        <w:rPr>
          <w:rFonts w:cs="Arial"/>
        </w:rPr>
        <w:t>To note the progress and development of the Council’s safeguarding work 2015-2016;</w:t>
      </w:r>
    </w:p>
    <w:p w:rsidR="00770820" w:rsidRPr="00D07958" w:rsidRDefault="00770820" w:rsidP="00D07958">
      <w:pPr>
        <w:pStyle w:val="ListParagraph"/>
        <w:numPr>
          <w:ilvl w:val="0"/>
          <w:numId w:val="7"/>
        </w:numPr>
        <w:rPr>
          <w:rFonts w:cs="Arial"/>
        </w:rPr>
      </w:pPr>
      <w:r w:rsidRPr="00D07958">
        <w:rPr>
          <w:rFonts w:cs="Arial"/>
        </w:rPr>
        <w:t>To agree the Action Plan as set out in Appendix 1;</w:t>
      </w:r>
    </w:p>
    <w:p w:rsidR="00770820" w:rsidRPr="00D07958" w:rsidRDefault="00770820" w:rsidP="00D07958">
      <w:pPr>
        <w:pStyle w:val="ListParagraph"/>
        <w:numPr>
          <w:ilvl w:val="0"/>
          <w:numId w:val="7"/>
        </w:numPr>
        <w:rPr>
          <w:rFonts w:cs="Arial"/>
        </w:rPr>
      </w:pPr>
      <w:r w:rsidRPr="00D07958">
        <w:rPr>
          <w:rFonts w:cs="Arial"/>
        </w:rPr>
        <w:t xml:space="preserve">To agree that the Board Member, Community Safety should raise the concern about Language School regulation as a priority with the Safeguarding Board and partner agencies; and   </w:t>
      </w:r>
    </w:p>
    <w:p w:rsidR="008A22C6" w:rsidRPr="008A22C6" w:rsidRDefault="00770820" w:rsidP="00D07958">
      <w:pPr>
        <w:pStyle w:val="ListParagraph"/>
        <w:numPr>
          <w:ilvl w:val="0"/>
          <w:numId w:val="7"/>
        </w:numPr>
      </w:pPr>
      <w:r w:rsidRPr="00D07958">
        <w:rPr>
          <w:rFonts w:cs="Arial"/>
        </w:rPr>
        <w:t>To endorse the Scrutiny Committee decision to undertake a review of the regulation of Language Schools with regard to safeguarding issues.</w:t>
      </w:r>
      <w:bookmarkStart w:id="0" w:name="_GoBack"/>
      <w:bookmarkEnd w:id="0"/>
    </w:p>
    <w:sectPr w:rsidR="008A22C6" w:rsidRPr="008A22C6"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20" w:rsidRDefault="00770820" w:rsidP="00770820">
      <w:r>
        <w:separator/>
      </w:r>
    </w:p>
  </w:endnote>
  <w:endnote w:type="continuationSeparator" w:id="0">
    <w:p w:rsidR="00770820" w:rsidRDefault="00770820"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20" w:rsidRDefault="00770820" w:rsidP="00770820">
      <w:r>
        <w:separator/>
      </w:r>
    </w:p>
  </w:footnote>
  <w:footnote w:type="continuationSeparator" w:id="0">
    <w:p w:rsidR="00770820" w:rsidRDefault="00770820"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290F45"/>
    <w:rsid w:val="003236B3"/>
    <w:rsid w:val="0033084B"/>
    <w:rsid w:val="0034054D"/>
    <w:rsid w:val="004000D7"/>
    <w:rsid w:val="00504E43"/>
    <w:rsid w:val="00612FE5"/>
    <w:rsid w:val="0066079B"/>
    <w:rsid w:val="00770820"/>
    <w:rsid w:val="007908F4"/>
    <w:rsid w:val="0081179F"/>
    <w:rsid w:val="00896B8B"/>
    <w:rsid w:val="008A22C6"/>
    <w:rsid w:val="00AD57AD"/>
    <w:rsid w:val="00B7537D"/>
    <w:rsid w:val="00C07F80"/>
    <w:rsid w:val="00C32C6A"/>
    <w:rsid w:val="00D07958"/>
    <w:rsid w:val="00DE75D6"/>
    <w:rsid w:val="00E234D4"/>
    <w:rsid w:val="00ED7F43"/>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A46C-78B7-405A-BF31-A1A6CB43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5</cp:revision>
  <dcterms:created xsi:type="dcterms:W3CDTF">2016-06-21T15:08:00Z</dcterms:created>
  <dcterms:modified xsi:type="dcterms:W3CDTF">2016-06-21T15:31:00Z</dcterms:modified>
</cp:coreProperties>
</file>